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DeepSensi publishes the first quantitative safety standard for clinical AI - free to the entire industry</w:t>
      </w:r>
    </w:p>
    <w:p>
      <w:pPr>
        <w:spacing w:after="160"/>
      </w:pPr>
      <w:r>
        <w:rPr>
          <w:b/>
          <w:bCs/>
        </w:rPr>
        <w:t xml:space="preserve">Dover, Delaware - July 2026.</w:t>
      </w:r>
      <w:r>
        <w:t xml:space="preserve"> DeepSensi PBC today released the </w:t>
      </w:r>
      <w:r>
        <w:rPr>
          <w:b/>
          <w:bCs/>
        </w:rPr>
        <w:t xml:space="preserve">Gomola Framework</w:t>
      </w:r>
      <w:r>
        <w:t xml:space="preserve">, the first quantitative safety-certification standard for clinical artificial intelligence, together with six technical papers headed to the medRxiv preprint server and peer review at </w:t>
      </w:r>
      <w:r>
        <w:rPr>
          <w:i/>
          <w:iCs/>
        </w:rPr>
        <w:t xml:space="preserve">NEJM AI</w:t>
      </w:r>
      <w:r>
        <w:t xml:space="preserve">. The framework is open and royalty-free.</w:t>
      </w:r>
    </w:p>
    <w:p>
      <w:pPr>
        <w:spacing w:after="160"/>
      </w:pPr>
      <w:r>
        <w:t xml:space="preserve">Clinical AI is the only safety-critical technology deployed at the bedside without a quantitative reliability requirement. Aviation certifies against DO-178C; nuclear engineering against IEC 61508; medicines against Phase III trials. Generative clinical AI - whose dominant failure mode, hallucination, is fluent and clinically plausible - has had no equivalent. The Gomola Framework defines four graded certification levels by explicit per-assertion hallucination-probability bounds, organized around five independently auditable pillars.</w:t>
      </w:r>
    </w:p>
    <w:p>
      <w:pPr>
        <w:spacing w:after="160"/>
      </w:pPr>
      <w:r>
        <w:rPr>
          <w:b/>
          <w:bCs/>
        </w:rPr>
        <w:t xml:space="preserve">Key results, from the published papers: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b/>
          <w:bCs/>
        </w:rPr>
        <w:t xml:space="preserve">A quantified safety bound.</w:t>
      </w:r>
      <w:r>
        <w:t xml:space="preserve"> Fault tree analysis (the method used to certify power plants and avionics) of DeepSensi's 23-barrier verification architecture yields a worst-case bound of 3.23 × 10⁻⁶ undetected hallucinations per assertion - meeting the numerical target of safety-integrity level SIL-4 with an ≈31-fold margin.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b/>
          <w:bCs/>
        </w:rPr>
        <w:t xml:space="preserve">Elite diagnostic accuracy with zero missed criticals.</w:t>
      </w:r>
      <w:r>
        <w:t xml:space="preserve"> On 301 NEJM Clinicopathological Conference cases (2014–2023), a full-architecture reference implementation reached 86.0% top-1 and 93.7% top-3 accuracy after safety-first calibration, with the </w:t>
      </w:r>
      <w:r>
        <w:rPr>
          <w:b/>
          <w:bCs/>
        </w:rPr>
        <w:t xml:space="preserve">missed-critical rate reduced from 4.7% to 0.0%</w:t>
      </w:r>
      <w:r>
        <w:t xml:space="preserve"> at a cost of just 2.3 </w:t>
      </w:r>
      <w:r>
        <w:rPr>
          <w:i/>
          <w:iCs/>
        </w:rPr>
        <w:t xml:space="preserve">additional</w:t>
      </w:r>
      <w:r>
        <w:t xml:space="preserve"> seconds of median deliberation (total median: 14.3 s; a full multi-specialist deliberation completes in 12 seconds to minutes for complex cases - a panel that takes days to convene by hand).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b/>
          <w:bCs/>
        </w:rPr>
        <w:t xml:space="preserve">Vendor independence.</w:t>
      </w:r>
      <w:r>
        <w:t xml:space="preserve"> DeepSensi is not a wrapper on any single model; it cross-examines multiple models from independent vendors, so a better base model yields a better verified answer - the architecture consumes the progress of the model race rather than competing in it.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b/>
          <w:bCs/>
        </w:rPr>
        <w:t xml:space="preserve">A structured "I don't know."</w:t>
      </w:r>
      <w:r>
        <w:t xml:space="preserve"> The LIMBO protocol produces an explicit uncertainty declaration - the disagreement, a working hypothesis, and the resolving tests - instead of a confident guess.</w:t>
      </w:r>
    </w:p>
    <w:p>
      <w:pPr>
        <w:spacing w:after="160"/>
      </w:pPr>
      <w:r>
        <w:rPr>
          <w:b/>
          <w:bCs/>
        </w:rPr>
        <w:t xml:space="preserve">A full cognitive infrastructure.</w:t>
      </w:r>
      <w:r>
        <w:t xml:space="preserve"> The newly published papers describe a system that extends beyond verification: the </w:t>
      </w:r>
      <w:r>
        <w:rPr>
          <w:b/>
          <w:bCs/>
        </w:rPr>
        <w:t xml:space="preserve">Hyper Consilium</w:t>
      </w:r>
      <w:r>
        <w:t xml:space="preserve"> integrates physicians as mathematically scored cognitive partners (with royalties for verified knowledge, released only after patient outcomes confirm value); </w:t>
      </w:r>
      <w:r>
        <w:rPr>
          <w:b/>
          <w:bCs/>
        </w:rPr>
        <w:t xml:space="preserve">AutoResearcher</w:t>
      </w:r>
      <w:r>
        <w:t xml:space="preserve"> autonomously generates and adversarially validates research hypotheses with a formal Bayesian convergence guarantee; and </w:t>
      </w:r>
      <w:r>
        <w:rPr>
          <w:b/>
          <w:bCs/>
        </w:rPr>
        <w:t xml:space="preserve">Golden Horizon</w:t>
      </w:r>
      <w:r>
        <w:t xml:space="preserve"> provides borderless, free-by-architecture clinical-trial matching and autonomous patient advocacy for those who have exhausted standard-of-care.</w:t>
      </w:r>
    </w:p>
    <w:p>
      <w:pPr>
        <w:spacing w:after="160"/>
      </w:pPr>
      <w:r>
        <w:rPr>
          <w:b/>
          <w:bCs/>
        </w:rPr>
        <w:t xml:space="preserve">A challenge to the industry's benchmarks.</w:t>
      </w:r>
      <w:r>
        <w:t xml:space="preserve"> A companion paper, "The Flawed Yardstick," documents how popular static benchmarks systematically penalize safe clinical behavior - the "Safe Triage Paradox" - and proposes a dynamic, safety-first evaluation protocol.</w:t>
      </w:r>
    </w:p>
    <w:p>
      <w:pPr>
        <w:spacing w:after="160"/>
      </w:pPr>
      <w:r>
        <w:t xml:space="preserve">The system is operational on edge nodes across four continents, including fully offline and air-gapped deployments. DeepSensi is engaging the U.S. FDA through the Q-Submission pathway and is architected for the EU AI Act ahead of its December 2027 deadline. DeepSensi PBC is a Public Benefit Corporation whose charter commits it to free global trial matching, open research into autism and refractory epilepsy, and the open safety standard.</w:t>
      </w:r>
    </w:p>
    <w:p>
      <w:pPr>
        <w:spacing w:after="160"/>
      </w:pPr>
      <w:r>
        <w:t xml:space="preserve">"A safety standard behind a paywall is not a standard. It is a product," said founder and chief architect Tomasz Jan Gomoła. "We publish the proof, the standard, and the audit. We invite the world to try to refute them."</w:t>
      </w:r>
    </w:p>
    <w:p>
      <w:pPr>
        <w:spacing w:after="160"/>
      </w:pPr>
      <w:r>
        <w:rPr>
          <w:b/>
          <w:bCs/>
        </w:rPr>
        <w:t xml:space="preserve">Technical documentation:</w:t>
      </w:r>
      <w:r>
        <w:t xml:space="preserve"> www.deepsensi.com/papers</w:t>
      </w:r>
    </w:p>
    <w:p>
      <w:pPr>
        <w:spacing w:after="160"/>
      </w:pPr>
      <w:r>
        <w:rPr>
          <w:b/>
          <w:bCs/>
        </w:rPr>
        <w:t xml:space="preserve">Press and auditor access to research protocols:</w:t>
      </w:r>
      <w:r>
        <w:t xml:space="preserve"> press@deepsensi.com</w:t>
      </w:r>
    </w:p>
    <w:p>
      <w:pPr>
        <w:spacing w:after="160"/>
      </w:pPr>
      <w:r>
        <w:rPr>
          <w:i/>
          <w:iCs/>
        </w:rPr>
        <w:t xml:space="preserve">About DeepSensi - DeepSensi PBC is a Public Benefit Corporation building verified clinical intelligence: a Cognitive Medical OS that surrounds any language model with an auditable verification architecture. The Gomola Framework and DeepSensi Standard are open and royalty-free; the reference implementation is proprietary. Founder and chief architect: Tomasz Jan Gomoła (ORCID 0009-0001-5222-6154).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62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120"/>
      <w:outlineLvl w:val="0"/>
    </w:pPr>
    <w:rPr>
      <w:rFonts w:ascii="Arial" w:cs="Arial" w:eastAsia="Arial" w:hAnsi="Arial"/>
      <w:b/>
      <w:bCs/>
      <w:color w:val="0e1512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60"/>
      <w:outlineLvl w:val="1"/>
    </w:pPr>
    <w:rPr>
      <w:rFonts w:ascii="Arial" w:cs="Arial" w:eastAsia="Arial" w:hAnsi="Arial"/>
      <w:b/>
      <w:bCs/>
      <w:color w:val="157a4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2026-07-07T16:18:28.311Z</dcterms:created>
  <dcterms:modified xsi:type="dcterms:W3CDTF">2026-07-07T16:18:28.312Z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